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42"/>
        </w:tabs>
        <w:spacing w:after="0" w:before="0" w:line="240" w:lineRule="auto"/>
        <w:ind w:left="0" w:right="0" w:firstLine="0"/>
        <w:jc w:val="left"/>
        <w:rPr>
          <w:rFonts w:ascii="Garamond" w:cs="Garamond" w:eastAsia="Garamond" w:hAnsi="Garamon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42"/>
        </w:tabs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ДОГОВОР № ___ /ОС</w:t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42"/>
        </w:tabs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на выполнение работ по сертификации брокерских услуг</w:t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42"/>
          <w:tab w:val="left" w:leader="none" w:pos="9639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031.0" w:type="dxa"/>
        <w:jc w:val="left"/>
        <w:tblInd w:w="-108.0" w:type="dxa"/>
        <w:tblLayout w:type="fixed"/>
        <w:tblLook w:val="0000"/>
      </w:tblPr>
      <w:tblGrid>
        <w:gridCol w:w="4928"/>
        <w:gridCol w:w="5103"/>
        <w:tblGridChange w:id="0">
          <w:tblGrid>
            <w:gridCol w:w="4928"/>
            <w:gridCol w:w="5103"/>
          </w:tblGrid>
        </w:tblGridChange>
      </w:tblGrid>
      <w:tr>
        <w:trPr>
          <w:cantSplit w:val="0"/>
          <w:trHeight w:val="242" w:hRule="atLeast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42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г. Самара 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42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«___»___________202__ г.</w:t>
            </w:r>
          </w:p>
        </w:tc>
      </w:tr>
    </w:tbl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42"/>
          <w:tab w:val="left" w:leader="none" w:pos="9639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Ассоциация «Поволжская Гильдия Риэлторов», именуемая в дальнейшем «Исполнитель», в лице Президента Рахматовой 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Гузалии Мухаметмударисовны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, действующей на основании Устава, с одной стороны, и </w: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_________________, в ___________, действующего на основании _____, именуемое в дальнейшем «Заказчик», с другой стороны, заключили настоящий договор о нижеследующем: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42"/>
          <w:tab w:val="left" w:leader="none" w:pos="9639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42"/>
          <w:tab w:val="left" w:leader="none" w:pos="9639"/>
        </w:tabs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1. Предмет договора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0"/>
          <w:tab w:val="left" w:leader="none" w:pos="-142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1.1. Предметом настоящего Договора является выполняемая Исполнителем в соответствии с заявкой Заказчика работа по сертификации брокерских услуг, оказываемых Заказчиком на рынке недвижимости. </w:t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1.2. Все требования к работе отражены в Порядке проведения сертификации брокерских услуг, утвержденном Руководящим Органом Системы, и соответствуют Положению о системе, зарегистрированному Госстандартом России Постановлением № 14 от 08.02.2002г. (РОСС RU И046. 04РН00) (далее – Порядок сертификации). Выполнение требований Порядка сертификации обязательно для обеих сторон.</w:t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0"/>
          <w:tab w:val="left" w:leader="none" w:pos="-142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1.3. Содержание, сроки выполнения основных этапов работ определены Порядком проведения работ по сертификации и настоящим Договором.</w:t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0"/>
          <w:tab w:val="left" w:leader="none" w:pos="-142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1.4. Настоящий Договор вступает в силу с момента подписания его обеими сторонами.</w:t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2. Обязанности сторон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42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2.1. Исполнитель обязуется:</w:t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2.1.1. Утвердить программу проверки услуг и сформировать комиссию.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2.1.2. Согласовать с Заказчиком график проведения проверки. </w:t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2.1.3. Осуществить проверку услуг и составить акт о результатах проверки. 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2.1.4. При отрицательных результатах проверки установить Заказчику срок устранения выявленных несоответствий в пределах общего срока проверки. </w:t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2.1.5. Принять Решение о соответствии (несоответствии) услуг Заказчика установленным требованиям и в течение 5 рабочих дней с момента принятия решения довести его до сведения Заказчика.</w:t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2.1.6. При положительном решении о соответствии услуг Заказчика установленным требованиям заключить с Заказчиком Соглашение по сертификации, после чего выдать Сертификат соответствия. </w:t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2.2. Заказчик обязуется:</w:t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0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2.2.1. Подписать Договор на выполнение работ по сертификации брокерских услуг и возвратить один экземпляр Договора Исполнителю не позднее 10 рабочих дней с момента вынесения положительного решения по заявке.</w:t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2.2.2. В срок не более 15 рабочих дней с момента подписания настоящего Договора согласовать и подписать предоставленный Исполнителем график проведения проверки. </w:t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2.2.3. Обеспечить для комиссии возможность:</w:t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- беспрепятственного доступа в помещения, используемые для оказания услуг;</w:t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- свободного общения с сотрудниками и потребителями услуг Заказчика;</w:t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- получить всю информацию и документацию, необходимую для проведения проверки.</w:t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2.2.4. При отрицательных результатах проверки устранить выявленные несоответствия в установленный Исполнителем срок.</w:t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2.2.5. При положительном решении о соответствии услуг Заказчика установленным требованиям подписать Соглашение по сертификации и вернуть один экземпляр Соглашения Исполнителю в течение 10 рабочих дней с момента его получения. Невыполнение этого требования рассматривается как отказ от заключения Соглашения по сертификации и влечет за собой отказ в выдаче Сертификата соответствия.</w:t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42"/>
          <w:tab w:val="left" w:leader="none" w:pos="9639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0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360"/>
          <w:tab w:val="left" w:leader="none" w:pos="720"/>
          <w:tab w:val="left" w:leader="none" w:pos="900"/>
          <w:tab w:val="left" w:leader="none" w:pos="6480"/>
        </w:tabs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3. Стоимость работ по договору и порядок расчетов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  <w:tab w:val="left" w:leader="none" w:pos="900"/>
          <w:tab w:val="left" w:leader="none" w:pos="6480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3.1. Стоимость работ по сертификации брокерских услуг определяется в соответствии с прайс-листом на услуги по сертификации, НДС не облагается на основании главы 26.2 НК РФ (Уведомление № 65/12-24/1450 от 14.01.09г. МИ ФНС России № 18 по Самарской области).</w:t>
      </w:r>
    </w:p>
    <w:p w:rsidR="00000000" w:rsidDel="00000000" w:rsidP="00000000" w:rsidRDefault="00000000" w:rsidRPr="00000000" w14:paraId="0000002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00"/>
          <w:tab w:val="left" w:leader="none" w:pos="6480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3.2. Форма расчетов – 100% предоплата, безналичный расчет в течение трех банковских дней с момента подписания настоящего Договора.</w:t>
      </w:r>
    </w:p>
    <w:p w:rsidR="00000000" w:rsidDel="00000000" w:rsidP="00000000" w:rsidRDefault="00000000" w:rsidRPr="00000000" w14:paraId="0000002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3.3. В случае необходимости проведения дополнительных работ по сертификации брокерских услуг по сравнению с плановым объемом, стоимость выполнения работ по настоящему Договору изменяется по дополнительному соглашению сторон.</w:t>
      </w:r>
    </w:p>
    <w:p w:rsidR="00000000" w:rsidDel="00000000" w:rsidP="00000000" w:rsidRDefault="00000000" w:rsidRPr="00000000" w14:paraId="0000002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0"/>
          <w:tab w:val="left" w:leader="none" w:pos="-142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keepNext w:val="1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639"/>
          <w:tab w:val="left" w:leader="none" w:pos="0"/>
        </w:tabs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4. Порядок сдачи и приемки работ</w:t>
      </w:r>
    </w:p>
    <w:p w:rsidR="00000000" w:rsidDel="00000000" w:rsidP="00000000" w:rsidRDefault="00000000" w:rsidRPr="00000000" w14:paraId="0000002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00"/>
          <w:tab w:val="left" w:leader="none" w:pos="6480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4.1. После выполнения работ Исполнителем Заказчик обязуется подписать Акт сдачи-приемки выполненных работ.</w:t>
      </w:r>
    </w:p>
    <w:p w:rsidR="00000000" w:rsidDel="00000000" w:rsidP="00000000" w:rsidRDefault="00000000" w:rsidRPr="00000000" w14:paraId="0000002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639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4.2. В случае если в трехдневный срок после выполнения всех обязательств по настоящему Договору Заказчик не предоставляет мотивированный отказ от подписания Акта сдачи-приемки выполненных работ, он считается подписанным, а настоящий Договор, исполненным надлежащим образом.</w:t>
      </w:r>
    </w:p>
    <w:p w:rsidR="00000000" w:rsidDel="00000000" w:rsidP="00000000" w:rsidRDefault="00000000" w:rsidRPr="00000000" w14:paraId="0000002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0"/>
          <w:tab w:val="left" w:leader="none" w:pos="142"/>
          <w:tab w:val="left" w:leader="none" w:pos="9639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4.3. После выполнения работ по сертификации брокерских услуг Исполнитель представляет Заказчику Акт проверки брокерских услуг. </w:t>
      </w:r>
    </w:p>
    <w:p w:rsidR="00000000" w:rsidDel="00000000" w:rsidP="00000000" w:rsidRDefault="00000000" w:rsidRPr="00000000" w14:paraId="0000002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0"/>
          <w:tab w:val="left" w:leader="none" w:pos="142"/>
          <w:tab w:val="left" w:leader="none" w:pos="9639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Работа по настоящему Договору считается выполненной в момент:</w:t>
      </w:r>
    </w:p>
    <w:p w:rsidR="00000000" w:rsidDel="00000000" w:rsidP="00000000" w:rsidRDefault="00000000" w:rsidRPr="00000000" w14:paraId="0000002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0"/>
          <w:tab w:val="left" w:leader="none" w:pos="142"/>
          <w:tab w:val="left" w:leader="none" w:pos="9639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- выдачи Исполнителем Заказчику Сертификата соответствия (в случае положительного результата сертификации);</w:t>
      </w:r>
    </w:p>
    <w:p w:rsidR="00000000" w:rsidDel="00000000" w:rsidP="00000000" w:rsidRDefault="00000000" w:rsidRPr="00000000" w14:paraId="0000002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639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- вынесения Исполнителем решения об отказе в выдаче Сертификата соответствия Заказчику (в случае отрицательного результата сертификации).</w:t>
      </w:r>
    </w:p>
    <w:p w:rsidR="00000000" w:rsidDel="00000000" w:rsidP="00000000" w:rsidRDefault="00000000" w:rsidRPr="00000000" w14:paraId="0000002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639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4.4. Исполнитель имеет право отказать в выдаче Сертификата соответствия в случае:</w:t>
      </w:r>
    </w:p>
    <w:p w:rsidR="00000000" w:rsidDel="00000000" w:rsidP="00000000" w:rsidRDefault="00000000" w:rsidRPr="00000000" w14:paraId="00000030">
      <w:pPr>
        <w:keepNext w:val="0"/>
        <w:keepLines w:val="0"/>
        <w:pageBreakBefore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360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невыполнения Заказчиком требований настоящего Договора; </w:t>
      </w:r>
    </w:p>
    <w:p w:rsidR="00000000" w:rsidDel="00000000" w:rsidP="00000000" w:rsidRDefault="00000000" w:rsidRPr="00000000" w14:paraId="00000031">
      <w:pPr>
        <w:keepNext w:val="0"/>
        <w:keepLines w:val="0"/>
        <w:pageBreakBefore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360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не соответствия порядка оказания услуг Стандарту СТО РГР «Услуги брокерские на рынке недвижимости. Общие требования», выявленного Исполнителем в ходе проверки;</w:t>
      </w:r>
    </w:p>
    <w:p w:rsidR="00000000" w:rsidDel="00000000" w:rsidP="00000000" w:rsidRDefault="00000000" w:rsidRPr="00000000" w14:paraId="00000032">
      <w:pPr>
        <w:keepNext w:val="0"/>
        <w:keepLines w:val="0"/>
        <w:pageBreakBefore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360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отказа Заказчика от заключения Соглашения по сертификации;</w:t>
      </w:r>
    </w:p>
    <w:p w:rsidR="00000000" w:rsidDel="00000000" w:rsidP="00000000" w:rsidRDefault="00000000" w:rsidRPr="00000000" w14:paraId="00000033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360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наличия признанной обоснованной информации от соответствующих органов по защите прав потребителей, органов государственного управления в отношении Заказчика на предмет несоответствия оказываемых им услуг требованиям СТО РГР «Услуги брокерские на рынке недвижимости. Общие требования»;</w:t>
      </w:r>
    </w:p>
    <w:p w:rsidR="00000000" w:rsidDel="00000000" w:rsidP="00000000" w:rsidRDefault="00000000" w:rsidRPr="00000000" w14:paraId="00000034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360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наличия признанных обоснованными жалоб и претензий на деятельность Заказчика в Комиссии по рассмотрению споров на предмет несоответствия оказываемых им услуг требованиям СТО РГР   «Услуги брокерские на рынке недвижимости. Общие требования».</w:t>
      </w:r>
    </w:p>
    <w:p w:rsidR="00000000" w:rsidDel="00000000" w:rsidP="00000000" w:rsidRDefault="00000000" w:rsidRPr="00000000" w14:paraId="0000003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639"/>
        </w:tabs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639"/>
        </w:tabs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5. Ответственность сторон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42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5.1. За невыполнение или ненадлежащее выполнение обязательств по настоящему Договору стороны несут ответственность в соответствии с действующим законодательством Российской Федерации.</w:t>
      </w:r>
    </w:p>
    <w:p w:rsidR="00000000" w:rsidDel="00000000" w:rsidP="00000000" w:rsidRDefault="00000000" w:rsidRPr="00000000" w14:paraId="0000003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639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5.2. Заказчик несет ответственность за:</w:t>
      </w:r>
    </w:p>
    <w:p w:rsidR="00000000" w:rsidDel="00000000" w:rsidP="00000000" w:rsidRDefault="00000000" w:rsidRPr="00000000" w14:paraId="0000003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639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5.2.1. Представление Исполнителю всех необходимых материалов и документов;</w:t>
      </w:r>
    </w:p>
    <w:p w:rsidR="00000000" w:rsidDel="00000000" w:rsidP="00000000" w:rsidRDefault="00000000" w:rsidRPr="00000000" w14:paraId="0000003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639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5.2.2. Создание Исполнителю условий для проведения проверки.</w:t>
      </w:r>
    </w:p>
    <w:p w:rsidR="00000000" w:rsidDel="00000000" w:rsidP="00000000" w:rsidRDefault="00000000" w:rsidRPr="00000000" w14:paraId="0000003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639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5.3. Исполнитель несет ответственность за:</w:t>
      </w:r>
    </w:p>
    <w:p w:rsidR="00000000" w:rsidDel="00000000" w:rsidP="00000000" w:rsidRDefault="00000000" w:rsidRPr="00000000" w14:paraId="0000003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639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5.3.1. Соблюдение всех правил, процедур и сроков, предусмотренных при проведении работ по сертификации;</w:t>
      </w:r>
    </w:p>
    <w:p w:rsidR="00000000" w:rsidDel="00000000" w:rsidP="00000000" w:rsidRDefault="00000000" w:rsidRPr="00000000" w14:paraId="0000003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639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5.3.2. Объективность результатов проверки брокерских услуг.</w:t>
      </w:r>
    </w:p>
    <w:p w:rsidR="00000000" w:rsidDel="00000000" w:rsidP="00000000" w:rsidRDefault="00000000" w:rsidRPr="00000000" w14:paraId="0000003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5.4. В случае одностороннего отказа Заказчика от проведения работ по сертификации предоплата в полном объеме остается у Исполнителя и возврату не подлежит.</w:t>
      </w:r>
    </w:p>
    <w:p w:rsidR="00000000" w:rsidDel="00000000" w:rsidP="00000000" w:rsidRDefault="00000000" w:rsidRPr="00000000" w14:paraId="0000003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639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639"/>
        </w:tabs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6. Прочие условия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6.1. Исполнитель вправе привлекать третьих лиц для выполнения работ по сертификации за свой счет. </w:t>
      </w:r>
    </w:p>
    <w:p w:rsidR="00000000" w:rsidDel="00000000" w:rsidP="00000000" w:rsidRDefault="00000000" w:rsidRPr="00000000" w14:paraId="0000004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6.2. Если в процессе выполнения работы выявляется неизбежность получения отрицательного результата проверки или нецелесообразность дальнейшего выполнения работ, Исполнитель обязан приостановить ее, поставив об этом в известность Заказчика в течение 2 рабочих дней после приостановки работы. В этом случае стороны обязаны в течение 3 дней рассмотреть вопрос о целесообразности и направлениях продолжения работ.</w:t>
      </w:r>
    </w:p>
    <w:p w:rsidR="00000000" w:rsidDel="00000000" w:rsidP="00000000" w:rsidRDefault="00000000" w:rsidRPr="00000000" w14:paraId="0000004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639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6.3. Действие настоящего Договора может быть прекращено по инициативе любой из сторон после предварительного уведомления другой стороны за 5 рабочих дней до прекращения действия настоящего Договора.</w:t>
      </w:r>
    </w:p>
    <w:p w:rsidR="00000000" w:rsidDel="00000000" w:rsidP="00000000" w:rsidRDefault="00000000" w:rsidRPr="00000000" w14:paraId="0000004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6.4. Изменение и расторжение настоящего Договора производится в соответствии с действующим законодательством Российской Федерации.</w:t>
      </w:r>
    </w:p>
    <w:p w:rsidR="00000000" w:rsidDel="00000000" w:rsidP="00000000" w:rsidRDefault="00000000" w:rsidRPr="00000000" w14:paraId="0000004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6.5. Споры по настоящему Договору разрешаются в Апелляционной комиссии Руководящего Органа Системы.</w:t>
      </w:r>
    </w:p>
    <w:p w:rsidR="00000000" w:rsidDel="00000000" w:rsidP="00000000" w:rsidRDefault="00000000" w:rsidRPr="00000000" w14:paraId="0000004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639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7">
      <w:pPr>
        <w:keepNext w:val="1"/>
        <w:keepLines w:val="0"/>
        <w:pageBreakBefore w:val="0"/>
        <w:widowControl w:val="1"/>
        <w:numPr>
          <w:ilvl w:val="2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639"/>
          <w:tab w:val="left" w:leader="none" w:pos="0"/>
        </w:tabs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7. Юридические адреса и банковские реквизиты сторон</w:t>
      </w:r>
    </w:p>
    <w:p w:rsidR="00000000" w:rsidDel="00000000" w:rsidP="00000000" w:rsidRDefault="00000000" w:rsidRPr="00000000" w14:paraId="0000004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0136.0" w:type="dxa"/>
        <w:jc w:val="left"/>
        <w:tblInd w:w="-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5037"/>
        <w:gridCol w:w="5099"/>
        <w:tblGridChange w:id="0">
          <w:tblGrid>
            <w:gridCol w:w="5037"/>
            <w:gridCol w:w="5099"/>
          </w:tblGrid>
        </w:tblGridChange>
      </w:tblGrid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4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Исполнитель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: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Заказчик: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4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Ассоциация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«Поволжская Гильдия Риэлторов»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Юр. адрес 443083, г. Самара, </w:t>
            </w:r>
          </w:p>
          <w:p w:rsidR="00000000" w:rsidDel="00000000" w:rsidP="00000000" w:rsidRDefault="00000000" w:rsidRPr="00000000" w14:paraId="0000004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ул. Стадионная,1</w:t>
            </w:r>
          </w:p>
          <w:p w:rsidR="00000000" w:rsidDel="00000000" w:rsidP="00000000" w:rsidRDefault="00000000" w:rsidRPr="00000000" w14:paraId="0000004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ИНН 6314014679 / КПП 631401001</w:t>
            </w:r>
          </w:p>
          <w:p w:rsidR="00000000" w:rsidDel="00000000" w:rsidP="00000000" w:rsidRDefault="00000000" w:rsidRPr="00000000" w14:paraId="0000005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ОГРН 1026300898480</w:t>
            </w:r>
          </w:p>
          <w:p w:rsidR="00000000" w:rsidDel="00000000" w:rsidP="00000000" w:rsidRDefault="00000000" w:rsidRPr="00000000" w14:paraId="0000005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р/с 40703810154400027711 </w:t>
            </w:r>
          </w:p>
          <w:p w:rsidR="00000000" w:rsidDel="00000000" w:rsidP="00000000" w:rsidRDefault="00000000" w:rsidRPr="00000000" w14:paraId="0000005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в Поволжский банк ПАО «Сбербанк России» г.Самары</w:t>
            </w:r>
          </w:p>
          <w:p w:rsidR="00000000" w:rsidDel="00000000" w:rsidP="00000000" w:rsidRDefault="00000000" w:rsidRPr="00000000" w14:paraId="0000005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БИК 043601607 </w:t>
            </w:r>
          </w:p>
          <w:p w:rsidR="00000000" w:rsidDel="00000000" w:rsidP="00000000" w:rsidRDefault="00000000" w:rsidRPr="00000000" w14:paraId="0000005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к/с 30101810200000000607</w:t>
            </w:r>
          </w:p>
          <w:p w:rsidR="00000000" w:rsidDel="00000000" w:rsidP="00000000" w:rsidRDefault="00000000" w:rsidRPr="00000000" w14:paraId="0000005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5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5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Президент Ассоциации «ПГР»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5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Генеральный директор</w:t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5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________________________/</w:t>
            </w: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Рахматова Г.М.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/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5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_____________________________/ФИО/</w:t>
            </w:r>
          </w:p>
        </w:tc>
      </w:tr>
    </w:tbl>
    <w:p w:rsidR="00000000" w:rsidDel="00000000" w:rsidP="00000000" w:rsidRDefault="00000000" w:rsidRPr="00000000" w14:paraId="0000005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639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headerReference r:id="rId7" w:type="default"/>
      <w:footerReference r:id="rId8" w:type="default"/>
      <w:pgSz w:h="16837" w:w="11905" w:orient="portrait"/>
      <w:pgMar w:bottom="981" w:top="850" w:left="1275" w:right="710" w:header="720" w:footer="85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Calibri"/>
  <w:font w:name="Times New Roman"/>
  <w:font w:name="Garamond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  <w:font w:name="Noto Sans Symbols">
    <w:embedRegular w:fontKey="{00000000-0000-0000-0000-000000000000}" r:id="rId5" w:subsetted="0"/>
    <w:embedBold w:fontKey="{00000000-0000-0000-0000-000000000000}" r:id="rId6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5D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153"/>
        <w:tab w:val="right" w:leader="none" w:pos="8306"/>
        <w:tab w:val="right" w:leader="none" w:pos="10206"/>
      </w:tabs>
      <w:spacing w:after="0" w:before="0" w:line="240" w:lineRule="auto"/>
      <w:ind w:left="0" w:right="36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mc:AlternateContent>
        <mc:Choice Requires="wpg">
          <w:drawing>
            <wp:anchor allowOverlap="1" behindDoc="0" distB="0" distT="0" distL="0" distR="0" hidden="0" layoutInCell="1" locked="0" relativeHeight="0" simplePos="0">
              <wp:simplePos x="0" y="0"/>
              <wp:positionH relativeFrom="column">
                <wp:posOffset>6946900</wp:posOffset>
              </wp:positionH>
              <wp:positionV relativeFrom="paragraph">
                <wp:posOffset>0</wp:posOffset>
              </wp:positionV>
              <wp:extent cx="73025" cy="155575"/>
              <wp:effectExtent b="0" l="0" r="0" t="0"/>
              <wp:wrapSquare wrapText="bothSides" distB="0" distT="0" distL="0" distR="0"/>
              <wp:docPr id="1028" name=""/>
              <a:graphic>
                <a:graphicData uri="http://schemas.microsoft.com/office/word/2010/wordprocessingShape">
                  <wps:wsp>
                    <wps:cNvSpPr/>
                    <wps:cNvPr id="2" name="Shape 2"/>
                    <wps:spPr>
                      <a:xfrm>
                        <a:off x="5314250" y="3706975"/>
                        <a:ext cx="63500" cy="1460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txbx>
                      <w:txbxContent>
                        <w:p w:rsidR="00000000" w:rsidDel="00000000" w:rsidP="00000000" w:rsidRDefault="00000000" w:rsidRPr="00000000">
                          <w:pPr>
                            <w:spacing w:after="0" w:before="0" w:line="240"/>
                            <w:ind w:left="0" w:right="0" w:firstLine="0"/>
                            <w:jc w:val="left"/>
                            <w:textDirection w:val="btLr"/>
                          </w:pPr>
                          <w:r w:rsidDel="00000000" w:rsidR="00000000" w:rsidRPr="00000000">
                            <w:rPr>
                              <w:rFonts w:ascii="Arial" w:cs="Arial" w:eastAsia="Arial" w:hAnsi="Arial"/>
                              <w:b w:val="0"/>
                              <w:i w:val="0"/>
                              <w:smallCaps w:val="0"/>
                              <w:strike w:val="0"/>
                              <w:color w:val="000000"/>
                              <w:sz w:val="28"/>
                              <w:vertAlign w:val="baseline"/>
                            </w:rPr>
                            <w:t xml:space="preserve"> PAGE 1</w:t>
                          </w:r>
                        </w:p>
                        <w:p w:rsidR="00000000" w:rsidDel="00000000" w:rsidP="00000000" w:rsidRDefault="00000000" w:rsidRPr="00000000">
                          <w:pPr>
                            <w:spacing w:after="0" w:before="0" w:line="240"/>
                            <w:ind w:left="0" w:right="0" w:firstLine="0"/>
                            <w:jc w:val="left"/>
                            <w:textDirection w:val="btLr"/>
                          </w:pPr>
                          <w:r w:rsidDel="00000000" w:rsidR="00000000" w:rsidRPr="00000000">
                            <w:rPr>
                              <w:rFonts w:ascii="Arial" w:cs="Arial" w:eastAsia="Arial" w:hAnsi="Arial"/>
                              <w:b w:val="0"/>
                              <w:i w:val="0"/>
                              <w:smallCaps w:val="0"/>
                              <w:strike w:val="0"/>
                              <w:color w:val="000000"/>
                              <w:sz w:val="28"/>
                              <w:vertAlign w:val="baseline"/>
                            </w:rPr>
                          </w:r>
                        </w:p>
                      </w:txbxContent>
                    </wps:txbx>
                    <wps:bodyPr anchorCtr="0" anchor="t" bIns="45700" lIns="91425" spcFirstLastPara="1" rIns="91425" wrap="square" tIns="45700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0" distB="0" distT="0" distL="0" distR="0" hidden="0" layoutInCell="1" locked="0" relativeHeight="0" simplePos="0">
              <wp:simplePos x="0" y="0"/>
              <wp:positionH relativeFrom="column">
                <wp:posOffset>6946900</wp:posOffset>
              </wp:positionH>
              <wp:positionV relativeFrom="paragraph">
                <wp:posOffset>0</wp:posOffset>
              </wp:positionV>
              <wp:extent cx="73025" cy="155575"/>
              <wp:effectExtent b="0" l="0" r="0" t="0"/>
              <wp:wrapSquare wrapText="bothSides" distB="0" distT="0" distL="0" distR="0"/>
              <wp:docPr id="1028" name="image4.png"/>
              <a:graphic>
                <a:graphicData uri="http://schemas.openxmlformats.org/drawingml/2006/picture">
                  <pic:pic>
                    <pic:nvPicPr>
                      <pic:cNvPr id="0" name="image4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73025" cy="155575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5C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77"/>
        <w:tab w:val="right" w:leader="none" w:pos="9355"/>
        <w:tab w:val="center" w:leader="none" w:pos="4960"/>
        <w:tab w:val="right" w:leader="none" w:pos="9920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  <w:drawing>
        <wp:inline distB="0" distT="0" distL="114300" distR="114300">
          <wp:extent cx="1273175" cy="523240"/>
          <wp:effectExtent b="0" l="0" r="0" t="0"/>
          <wp:docPr id="1029" name="image3.jpg"/>
          <a:graphic>
            <a:graphicData uri="http://schemas.openxmlformats.org/drawingml/2006/picture">
              <pic:pic>
                <pic:nvPicPr>
                  <pic:cNvPr id="0" name="image3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273175" cy="52324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ab/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  <w:drawing>
        <wp:inline distB="0" distT="0" distL="114300" distR="114300">
          <wp:extent cx="667385" cy="413385"/>
          <wp:effectExtent b="0" l="0" r="0" t="0"/>
          <wp:docPr id="1031" name="image2.jpg"/>
          <a:graphic>
            <a:graphicData uri="http://schemas.openxmlformats.org/drawingml/2006/picture">
              <pic:pic>
                <pic:nvPicPr>
                  <pic:cNvPr id="0" name="image2.jp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67385" cy="413385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ab/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  <w:drawing>
        <wp:inline distB="0" distT="0" distL="114300" distR="114300">
          <wp:extent cx="419100" cy="457835"/>
          <wp:effectExtent b="0" l="0" r="0" t="0"/>
          <wp:docPr id="1030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3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419100" cy="457835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2"/>
      <w:numFmt w:val="bullet"/>
      <w:lvlText w:val="-"/>
      <w:lvlJc w:val="left"/>
      <w:pPr>
        <w:ind w:left="1068" w:hanging="360"/>
      </w:pPr>
      <w:rPr>
        <w:rFonts w:ascii="Noto Sans Symbols" w:cs="Noto Sans Symbols" w:eastAsia="Noto Sans Symbols" w:hAnsi="Noto Sans Symbols"/>
        <w:vertAlign w:val="baseline"/>
      </w:rPr>
    </w:lvl>
    <w:lvl w:ilvl="1">
      <w:start w:val="1"/>
      <w:numFmt w:val="bullet"/>
      <w:lvlText w:val=""/>
      <w:lvlJc w:val="left"/>
      <w:pPr>
        <w:ind w:left="0" w:firstLine="0"/>
      </w:pPr>
      <w:rPr/>
    </w:lvl>
    <w:lvl w:ilvl="2">
      <w:start w:val="1"/>
      <w:numFmt w:val="bullet"/>
      <w:lvlText w:val=""/>
      <w:lvlJc w:val="left"/>
      <w:pPr>
        <w:ind w:left="0" w:firstLine="0"/>
      </w:pPr>
      <w:rPr/>
    </w:lvl>
    <w:lvl w:ilvl="3">
      <w:start w:val="1"/>
      <w:numFmt w:val="bullet"/>
      <w:lvlText w:val=""/>
      <w:lvlJc w:val="left"/>
      <w:pPr>
        <w:ind w:left="0" w:firstLine="0"/>
      </w:pPr>
      <w:rPr/>
    </w:lvl>
    <w:lvl w:ilvl="4">
      <w:start w:val="1"/>
      <w:numFmt w:val="bullet"/>
      <w:lvlText w:val=""/>
      <w:lvlJc w:val="left"/>
      <w:pPr>
        <w:ind w:left="0" w:firstLine="0"/>
      </w:pPr>
      <w:rPr/>
    </w:lvl>
    <w:lvl w:ilvl="5">
      <w:start w:val="1"/>
      <w:numFmt w:val="bullet"/>
      <w:lvlText w:val=""/>
      <w:lvlJc w:val="left"/>
      <w:pPr>
        <w:ind w:left="0" w:firstLine="0"/>
      </w:pPr>
      <w:rPr/>
    </w:lvl>
    <w:lvl w:ilvl="6">
      <w:start w:val="1"/>
      <w:numFmt w:val="bullet"/>
      <w:lvlText w:val=""/>
      <w:lvlJc w:val="left"/>
      <w:pPr>
        <w:ind w:left="0" w:firstLine="0"/>
      </w:pPr>
      <w:rPr/>
    </w:lvl>
    <w:lvl w:ilvl="7">
      <w:start w:val="1"/>
      <w:numFmt w:val="bullet"/>
      <w:lvlText w:val=""/>
      <w:lvlJc w:val="left"/>
      <w:pPr>
        <w:ind w:left="0" w:firstLine="0"/>
      </w:pPr>
      <w:rPr/>
    </w:lvl>
    <w:lvl w:ilvl="8">
      <w:start w:val="1"/>
      <w:numFmt w:val="bullet"/>
      <w:lvlText w:val=""/>
      <w:lvlJc w:val="left"/>
      <w:pPr>
        <w:ind w:left="0" w:firstLine="0"/>
      </w:pPr>
      <w:rPr/>
    </w:lvl>
  </w:abstractNum>
  <w:abstractNum w:abstractNumId="2">
    <w:lvl w:ilvl="0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2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4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5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6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7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8">
      <w:start w:val="1"/>
      <w:numFmt w:val="decimal"/>
      <w:lvlText w:val=""/>
      <w:lvlJc w:val="left"/>
      <w:pPr>
        <w:ind w:left="0" w:firstLine="0"/>
      </w:pPr>
      <w:rPr>
        <w:vertAlign w:val="baseline"/>
      </w:rPr>
    </w:lvl>
  </w:abstractNum>
  <w:abstractNum w:abstractNumId="3">
    <w:lvl w:ilvl="0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2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4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5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6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7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8">
      <w:start w:val="1"/>
      <w:numFmt w:val="decimal"/>
      <w:lvlText w:val=""/>
      <w:lvlJc w:val="left"/>
      <w:pPr>
        <w:ind w:left="0" w:firstLine="0"/>
      </w:pPr>
      <w:rPr>
        <w:vertAlign w:val="baseline"/>
      </w:rPr>
    </w:lvl>
  </w:abstractNum>
  <w:abstractNum w:abstractNumId="4">
    <w:lvl w:ilvl="0">
      <w:start w:val="0"/>
      <w:numFmt w:val="bullet"/>
      <w:lvlText w:val="-"/>
      <w:lvlJc w:val="left"/>
      <w:pPr>
        <w:ind w:left="1068" w:hanging="360"/>
      </w:pPr>
      <w:rPr>
        <w:rFonts w:ascii="Noto Sans Symbols" w:cs="Noto Sans Symbols" w:eastAsia="Noto Sans Symbols" w:hAnsi="Noto Sans Symbols"/>
        <w:vertAlign w:val="baseline"/>
      </w:rPr>
    </w:lvl>
    <w:lvl w:ilvl="1">
      <w:start w:val="1"/>
      <w:numFmt w:val="bullet"/>
      <w:lvlText w:val=""/>
      <w:lvlJc w:val="left"/>
      <w:pPr>
        <w:ind w:left="0" w:firstLine="0"/>
      </w:pPr>
      <w:rPr/>
    </w:lvl>
    <w:lvl w:ilvl="2">
      <w:start w:val="1"/>
      <w:numFmt w:val="bullet"/>
      <w:lvlText w:val=""/>
      <w:lvlJc w:val="left"/>
      <w:pPr>
        <w:ind w:left="0" w:firstLine="0"/>
      </w:pPr>
      <w:rPr/>
    </w:lvl>
    <w:lvl w:ilvl="3">
      <w:start w:val="1"/>
      <w:numFmt w:val="bullet"/>
      <w:lvlText w:val=""/>
      <w:lvlJc w:val="left"/>
      <w:pPr>
        <w:ind w:left="0" w:firstLine="0"/>
      </w:pPr>
      <w:rPr/>
    </w:lvl>
    <w:lvl w:ilvl="4">
      <w:start w:val="1"/>
      <w:numFmt w:val="bullet"/>
      <w:lvlText w:val=""/>
      <w:lvlJc w:val="left"/>
      <w:pPr>
        <w:ind w:left="0" w:firstLine="0"/>
      </w:pPr>
      <w:rPr/>
    </w:lvl>
    <w:lvl w:ilvl="5">
      <w:start w:val="1"/>
      <w:numFmt w:val="bullet"/>
      <w:lvlText w:val=""/>
      <w:lvlJc w:val="left"/>
      <w:pPr>
        <w:ind w:left="0" w:firstLine="0"/>
      </w:pPr>
      <w:rPr/>
    </w:lvl>
    <w:lvl w:ilvl="6">
      <w:start w:val="1"/>
      <w:numFmt w:val="bullet"/>
      <w:lvlText w:val=""/>
      <w:lvlJc w:val="left"/>
      <w:pPr>
        <w:ind w:left="0" w:firstLine="0"/>
      </w:pPr>
      <w:rPr/>
    </w:lvl>
    <w:lvl w:ilvl="7">
      <w:start w:val="1"/>
      <w:numFmt w:val="bullet"/>
      <w:lvlText w:val=""/>
      <w:lvlJc w:val="left"/>
      <w:pPr>
        <w:ind w:left="0" w:firstLine="0"/>
      </w:pPr>
      <w:rPr/>
    </w:lvl>
    <w:lvl w:ilvl="8">
      <w:start w:val="1"/>
      <w:numFmt w:val="bullet"/>
      <w:lvlText w:val=""/>
      <w:lvlJc w:val="left"/>
      <w:pPr>
        <w:ind w:left="0" w:firstLine="0"/>
      </w:pPr>
      <w:rPr/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lang w:val="ru-RU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Обычный">
    <w:name w:val="Обычный"/>
    <w:next w:val="Обычный"/>
    <w:autoRedefine w:val="0"/>
    <w:hidden w:val="0"/>
    <w:qFormat w:val="0"/>
    <w:pPr>
      <w:suppressAutoHyphens w:val="0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 w:bidi="ar-SA" w:eastAsia="ar-SA" w:val="ru-RU"/>
    </w:rPr>
  </w:style>
  <w:style w:type="paragraph" w:styleId="Заголовок1">
    <w:name w:val="Заголовок 1"/>
    <w:basedOn w:val="Обычный"/>
    <w:next w:val="Обычный"/>
    <w:autoRedefine w:val="0"/>
    <w:hidden w:val="0"/>
    <w:qFormat w:val="0"/>
    <w:pPr>
      <w:keepNext w:val="1"/>
      <w:suppressAutoHyphens w:val="0"/>
      <w:spacing w:after="60" w:before="240" w:line="1" w:lineRule="atLeast"/>
      <w:ind w:leftChars="-1" w:rightChars="0" w:firstLineChars="-1"/>
      <w:textDirection w:val="btLr"/>
      <w:textAlignment w:val="top"/>
      <w:outlineLvl w:val="0"/>
    </w:pPr>
    <w:rPr>
      <w:rFonts w:ascii="Cambria" w:cs="Times New Roman" w:eastAsia="Times New Roman" w:hAnsi="Cambria"/>
      <w:b w:val="1"/>
      <w:bCs w:val="1"/>
      <w:w w:val="100"/>
      <w:kern w:val="1"/>
      <w:position w:val="-1"/>
      <w:sz w:val="32"/>
      <w:szCs w:val="32"/>
      <w:effect w:val="none"/>
      <w:vertAlign w:val="baseline"/>
      <w:cs w:val="0"/>
      <w:em w:val="none"/>
      <w:lang w:bidi="ar-SA" w:eastAsia="ar-SA" w:val="ru-RU"/>
    </w:rPr>
  </w:style>
  <w:style w:type="paragraph" w:styleId="Заголовок2">
    <w:name w:val="Заголовок 2"/>
    <w:basedOn w:val="Обычный"/>
    <w:next w:val="Обычный"/>
    <w:autoRedefine w:val="0"/>
    <w:hidden w:val="0"/>
    <w:qFormat w:val="0"/>
    <w:pPr>
      <w:keepNext w:val="1"/>
      <w:numPr>
        <w:ilvl w:val="1"/>
        <w:numId w:val="1"/>
      </w:numPr>
      <w:tabs>
        <w:tab w:val="left" w:leader="underscore" w:pos="9639"/>
      </w:tabs>
      <w:suppressAutoHyphens w:val="0"/>
      <w:spacing w:line="1" w:lineRule="atLeast"/>
      <w:ind w:left="567" w:right="0" w:leftChars="-1" w:rightChars="0" w:firstLine="0" w:firstLineChars="-1"/>
      <w:jc w:val="both"/>
      <w:textDirection w:val="btLr"/>
      <w:textAlignment w:val="top"/>
      <w:outlineLvl w:val="1"/>
    </w:pPr>
    <w:rPr>
      <w:b w:val="1"/>
      <w:w w:val="100"/>
      <w:position w:val="-1"/>
      <w:sz w:val="24"/>
      <w:effect w:val="none"/>
      <w:vertAlign w:val="baseline"/>
      <w:cs w:val="0"/>
      <w:em w:val="none"/>
      <w:lang w:bidi="ar-SA" w:eastAsia="ar-SA" w:val="ru-RU"/>
    </w:rPr>
  </w:style>
  <w:style w:type="paragraph" w:styleId="Заголовок3">
    <w:name w:val="Заголовок 3"/>
    <w:basedOn w:val="Обычный"/>
    <w:next w:val="Обычный"/>
    <w:autoRedefine w:val="0"/>
    <w:hidden w:val="0"/>
    <w:qFormat w:val="0"/>
    <w:pPr>
      <w:keepNext w:val="1"/>
      <w:numPr>
        <w:ilvl w:val="2"/>
        <w:numId w:val="1"/>
      </w:numPr>
      <w:tabs>
        <w:tab w:val="left" w:leader="underscore" w:pos="9639"/>
      </w:tabs>
      <w:suppressAutoHyphens w:val="0"/>
      <w:spacing w:line="1" w:lineRule="atLeast"/>
      <w:ind w:left="567" w:right="0" w:leftChars="-1" w:rightChars="0" w:firstLine="0" w:firstLineChars="-1"/>
      <w:textDirection w:val="btLr"/>
      <w:textAlignment w:val="top"/>
      <w:outlineLvl w:val="2"/>
    </w:pPr>
    <w:rPr>
      <w:b w:val="1"/>
      <w:w w:val="100"/>
      <w:position w:val="-1"/>
      <w:sz w:val="28"/>
      <w:effect w:val="none"/>
      <w:vertAlign w:val="baseline"/>
      <w:cs w:val="0"/>
      <w:em w:val="none"/>
      <w:lang w:bidi="ar-SA" w:eastAsia="ar-SA" w:val="ru-RU"/>
    </w:rPr>
  </w:style>
  <w:style w:type="character" w:styleId="Основнойшрифтабзаца">
    <w:name w:val="Основной шрифт абзаца"/>
    <w:next w:val="Основнойшрифтабзаца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table" w:styleId="Обычнаятаблица">
    <w:name w:val="Обычная таблица"/>
    <w:next w:val="Обычнаятаблица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tblStyle w:val="Обычнаятаблица"/>
      <w:jc w:val="left"/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Нетсписка">
    <w:name w:val="Нет списка"/>
    <w:next w:val="Нетсписка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</w:style>
  <w:style w:type="character" w:styleId="WW8Num2z0">
    <w:name w:val="WW8Num2z0"/>
    <w:next w:val="WW8Num2z0"/>
    <w:autoRedefine w:val="0"/>
    <w:hidden w:val="0"/>
    <w:qFormat w:val="0"/>
    <w:rPr>
      <w:rFonts w:ascii="StarSymbol" w:hAnsi="StarSymbol"/>
      <w:w w:val="100"/>
      <w:position w:val="-1"/>
      <w:effect w:val="none"/>
      <w:vertAlign w:val="baseline"/>
      <w:cs w:val="0"/>
      <w:em w:val="none"/>
      <w:lang/>
    </w:rPr>
  </w:style>
  <w:style w:type="character" w:styleId="WW8Num3z0">
    <w:name w:val="WW8Num3z0"/>
    <w:next w:val="WW8Num3z0"/>
    <w:autoRedefine w:val="0"/>
    <w:hidden w:val="0"/>
    <w:qFormat w:val="0"/>
    <w:rPr>
      <w:rFonts w:ascii="StarSymbol" w:hAnsi="StarSymbol"/>
      <w:w w:val="100"/>
      <w:position w:val="-1"/>
      <w:effect w:val="none"/>
      <w:vertAlign w:val="baseline"/>
      <w:cs w:val="0"/>
      <w:em w:val="none"/>
      <w:lang/>
    </w:rPr>
  </w:style>
  <w:style w:type="character" w:styleId="Основнойшрифтабзаца2">
    <w:name w:val="Основной шрифт абзаца2"/>
    <w:next w:val="Основнойшрифтабзаца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Основнойшрифтабзаца1">
    <w:name w:val="Основной шрифт абзаца1"/>
    <w:next w:val="Основнойшрифтабзаца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Знакпримечания1">
    <w:name w:val="Знак примечания1"/>
    <w:next w:val="Знакпримечания1"/>
    <w:autoRedefine w:val="0"/>
    <w:hidden w:val="0"/>
    <w:qFormat w:val="0"/>
    <w:rPr>
      <w:w w:val="100"/>
      <w:position w:val="-1"/>
      <w:sz w:val="16"/>
      <w:effect w:val="none"/>
      <w:vertAlign w:val="baseline"/>
      <w:cs w:val="0"/>
      <w:em w:val="none"/>
      <w:lang/>
    </w:rPr>
  </w:style>
  <w:style w:type="character" w:styleId="Символсноски">
    <w:name w:val="Символ сноски"/>
    <w:next w:val="Символсноски"/>
    <w:autoRedefine w:val="0"/>
    <w:hidden w:val="0"/>
    <w:qFormat w:val="0"/>
    <w:rPr>
      <w:w w:val="100"/>
      <w:position w:val="-1"/>
      <w:effect w:val="none"/>
      <w:vertAlign w:val="superscript"/>
      <w:cs w:val="0"/>
      <w:em w:val="none"/>
      <w:lang/>
    </w:rPr>
  </w:style>
  <w:style w:type="character" w:styleId="Номерстраницы">
    <w:name w:val="Номер страницы"/>
    <w:basedOn w:val="Основнойшрифтабзаца1"/>
    <w:next w:val="Номерстраницы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ЗнакЗнак4">
    <w:name w:val="Знак Знак4"/>
    <w:basedOn w:val="Основнойшрифтабзаца2"/>
    <w:next w:val="ЗнакЗнак4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ЗнакЗнак3">
    <w:name w:val="Знак Знак3"/>
    <w:next w:val="ЗнакЗнак3"/>
    <w:autoRedefine w:val="0"/>
    <w:hidden w:val="0"/>
    <w:qFormat w:val="0"/>
    <w:rPr>
      <w:rFonts w:ascii="Tahoma" w:cs="Tahoma" w:hAnsi="Tahoma"/>
      <w:w w:val="100"/>
      <w:position w:val="-1"/>
      <w:sz w:val="16"/>
      <w:szCs w:val="16"/>
      <w:effect w:val="none"/>
      <w:vertAlign w:val="baseline"/>
      <w:cs w:val="0"/>
      <w:em w:val="none"/>
      <w:lang/>
    </w:rPr>
  </w:style>
  <w:style w:type="character" w:styleId="Знакпримечания2">
    <w:name w:val="Знак примечания2"/>
    <w:next w:val="Знакпримечания2"/>
    <w:autoRedefine w:val="0"/>
    <w:hidden w:val="0"/>
    <w:qFormat w:val="0"/>
    <w:rPr>
      <w:w w:val="100"/>
      <w:position w:val="-1"/>
      <w:sz w:val="16"/>
      <w:szCs w:val="16"/>
      <w:effect w:val="none"/>
      <w:vertAlign w:val="baseline"/>
      <w:cs w:val="0"/>
      <w:em w:val="none"/>
      <w:lang/>
    </w:rPr>
  </w:style>
  <w:style w:type="character" w:styleId="ЗнакЗнак2">
    <w:name w:val="Знак Знак2"/>
    <w:basedOn w:val="Основнойшрифтабзаца2"/>
    <w:next w:val="ЗнакЗнак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ЗнакЗнак1">
    <w:name w:val="Знак Знак1"/>
    <w:next w:val="ЗнакЗнак1"/>
    <w:autoRedefine w:val="0"/>
    <w:hidden w:val="0"/>
    <w:qFormat w:val="0"/>
    <w:rPr>
      <w:b w:val="1"/>
      <w:bCs w:val="1"/>
      <w:w w:val="100"/>
      <w:position w:val="-1"/>
      <w:effect w:val="none"/>
      <w:vertAlign w:val="baseline"/>
      <w:cs w:val="0"/>
      <w:em w:val="none"/>
      <w:lang/>
    </w:rPr>
  </w:style>
  <w:style w:type="character" w:styleId="ЗнакЗнак">
    <w:name w:val="Знак Знак"/>
    <w:next w:val="ЗнакЗнак"/>
    <w:autoRedefine w:val="0"/>
    <w:hidden w:val="0"/>
    <w:qFormat w:val="0"/>
    <w:rPr>
      <w:w w:val="100"/>
      <w:position w:val="-1"/>
      <w:sz w:val="16"/>
      <w:szCs w:val="16"/>
      <w:effect w:val="none"/>
      <w:vertAlign w:val="baseline"/>
      <w:cs w:val="0"/>
      <w:em w:val="none"/>
      <w:lang/>
    </w:rPr>
  </w:style>
  <w:style w:type="character" w:styleId="ЗнакЗнак6">
    <w:name w:val="Знак Знак6"/>
    <w:next w:val="ЗнакЗнак6"/>
    <w:autoRedefine w:val="0"/>
    <w:hidden w:val="0"/>
    <w:qFormat w:val="0"/>
    <w:rPr>
      <w:rFonts w:ascii="Cambria" w:cs="Times New Roman" w:eastAsia="Times New Roman" w:hAnsi="Cambria"/>
      <w:b w:val="1"/>
      <w:bCs w:val="1"/>
      <w:w w:val="100"/>
      <w:kern w:val="1"/>
      <w:position w:val="-1"/>
      <w:sz w:val="32"/>
      <w:szCs w:val="32"/>
      <w:effect w:val="none"/>
      <w:vertAlign w:val="baseline"/>
      <w:cs w:val="0"/>
      <w:em w:val="none"/>
      <w:lang/>
    </w:rPr>
  </w:style>
  <w:style w:type="character" w:styleId="ЗнакЗнак5">
    <w:name w:val="Знак Знак5"/>
    <w:basedOn w:val="Основнойшрифтабзаца2"/>
    <w:next w:val="ЗнакЗнак5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paragraph" w:styleId="Заголовок">
    <w:name w:val="Заголовок"/>
    <w:basedOn w:val="Обычный"/>
    <w:next w:val="Основнойтекст"/>
    <w:autoRedefine w:val="0"/>
    <w:hidden w:val="0"/>
    <w:qFormat w:val="0"/>
    <w:pPr>
      <w:keepNext w:val="1"/>
      <w:suppressAutoHyphens w:val="0"/>
      <w:spacing w:after="120" w:before="240" w:line="1" w:lineRule="atLeast"/>
      <w:ind w:leftChars="-1" w:rightChars="0" w:firstLineChars="-1"/>
      <w:textDirection w:val="btLr"/>
      <w:textAlignment w:val="top"/>
      <w:outlineLvl w:val="0"/>
    </w:pPr>
    <w:rPr>
      <w:rFonts w:ascii="Arial" w:cs="Tahoma" w:eastAsia="MS Mincho" w:hAnsi="Arial"/>
      <w:w w:val="100"/>
      <w:position w:val="-1"/>
      <w:sz w:val="28"/>
      <w:szCs w:val="28"/>
      <w:effect w:val="none"/>
      <w:vertAlign w:val="baseline"/>
      <w:cs w:val="0"/>
      <w:em w:val="none"/>
      <w:lang w:bidi="ar-SA" w:eastAsia="ar-SA" w:val="ru-RU"/>
    </w:rPr>
  </w:style>
  <w:style w:type="paragraph" w:styleId="Основнойтекст">
    <w:name w:val="Основной текст"/>
    <w:basedOn w:val="Обычный"/>
    <w:next w:val="Основнойтекст"/>
    <w:autoRedefine w:val="0"/>
    <w:hidden w:val="0"/>
    <w:qFormat w:val="0"/>
    <w:pPr>
      <w:tabs>
        <w:tab w:val="left" w:leader="underscore" w:pos="0"/>
      </w:tabs>
      <w:suppressAutoHyphens w:val="0"/>
      <w:spacing w:line="1" w:lineRule="atLeast"/>
      <w:ind w:leftChars="-1" w:rightChars="0" w:firstLineChars="-1"/>
      <w:jc w:val="both"/>
      <w:textDirection w:val="btLr"/>
      <w:textAlignment w:val="top"/>
      <w:outlineLvl w:val="0"/>
    </w:pPr>
    <w:rPr>
      <w:w w:val="100"/>
      <w:position w:val="-1"/>
      <w:sz w:val="24"/>
      <w:effect w:val="none"/>
      <w:vertAlign w:val="baseline"/>
      <w:cs w:val="0"/>
      <w:em w:val="none"/>
      <w:lang w:bidi="ar-SA" w:eastAsia="ar-SA" w:val="ru-RU"/>
    </w:rPr>
  </w:style>
  <w:style w:type="paragraph" w:styleId="Список">
    <w:name w:val="Список"/>
    <w:basedOn w:val="Основнойтекст"/>
    <w:next w:val="Список"/>
    <w:autoRedefine w:val="0"/>
    <w:hidden w:val="0"/>
    <w:qFormat w:val="0"/>
    <w:pPr>
      <w:tabs>
        <w:tab w:val="left" w:leader="underscore" w:pos="0"/>
      </w:tabs>
      <w:suppressAutoHyphens w:val="0"/>
      <w:spacing w:line="1" w:lineRule="atLeast"/>
      <w:ind w:leftChars="-1" w:rightChars="0" w:firstLineChars="-1"/>
      <w:jc w:val="both"/>
      <w:textDirection w:val="btLr"/>
      <w:textAlignment w:val="top"/>
      <w:outlineLvl w:val="0"/>
    </w:pPr>
    <w:rPr>
      <w:rFonts w:ascii="Arial" w:cs="Tahoma" w:hAnsi="Arial"/>
      <w:w w:val="100"/>
      <w:position w:val="-1"/>
      <w:sz w:val="24"/>
      <w:effect w:val="none"/>
      <w:vertAlign w:val="baseline"/>
      <w:cs w:val="0"/>
      <w:em w:val="none"/>
      <w:lang w:bidi="ar-SA" w:eastAsia="ar-SA" w:val="ru-RU"/>
    </w:rPr>
  </w:style>
  <w:style w:type="paragraph" w:styleId="Название2">
    <w:name w:val="Название2"/>
    <w:basedOn w:val="Обычный"/>
    <w:next w:val="Название2"/>
    <w:autoRedefine w:val="0"/>
    <w:hidden w:val="0"/>
    <w:qFormat w:val="0"/>
    <w:pPr>
      <w:suppressLineNumbers w:val="1"/>
      <w:suppressAutoHyphens w:val="0"/>
      <w:spacing w:after="120" w:before="120" w:line="1" w:lineRule="atLeast"/>
      <w:ind w:leftChars="-1" w:rightChars="0" w:firstLineChars="-1"/>
      <w:textDirection w:val="btLr"/>
      <w:textAlignment w:val="top"/>
      <w:outlineLvl w:val="0"/>
    </w:pPr>
    <w:rPr>
      <w:rFonts w:ascii="Arial" w:cs="Tahoma" w:hAnsi="Arial"/>
      <w:i w:val="1"/>
      <w:iCs w:val="1"/>
      <w:w w:val="100"/>
      <w:position w:val="-1"/>
      <w:sz w:val="20"/>
      <w:szCs w:val="24"/>
      <w:effect w:val="none"/>
      <w:vertAlign w:val="baseline"/>
      <w:cs w:val="0"/>
      <w:em w:val="none"/>
      <w:lang w:bidi="ar-SA" w:eastAsia="ar-SA" w:val="ru-RU"/>
    </w:rPr>
  </w:style>
  <w:style w:type="paragraph" w:styleId="Указатель2">
    <w:name w:val="Указатель2"/>
    <w:basedOn w:val="Обычный"/>
    <w:next w:val="Указатель2"/>
    <w:autoRedefine w:val="0"/>
    <w:hidden w:val="0"/>
    <w:qFormat w:val="0"/>
    <w:pPr>
      <w:suppressLineNumbers w:val="1"/>
      <w:suppressAutoHyphens w:val="0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Arial" w:cs="Tahoma" w:hAnsi="Arial"/>
      <w:w w:val="100"/>
      <w:position w:val="-1"/>
      <w:effect w:val="none"/>
      <w:vertAlign w:val="baseline"/>
      <w:cs w:val="0"/>
      <w:em w:val="none"/>
      <w:lang w:bidi="ar-SA" w:eastAsia="ar-SA" w:val="ru-RU"/>
    </w:rPr>
  </w:style>
  <w:style w:type="paragraph" w:styleId="Название1">
    <w:name w:val="Название1"/>
    <w:basedOn w:val="Обычный"/>
    <w:next w:val="Название1"/>
    <w:autoRedefine w:val="0"/>
    <w:hidden w:val="0"/>
    <w:qFormat w:val="0"/>
    <w:pPr>
      <w:suppressLineNumbers w:val="1"/>
      <w:suppressAutoHyphens w:val="0"/>
      <w:spacing w:after="120" w:before="120" w:line="1" w:lineRule="atLeast"/>
      <w:ind w:leftChars="-1" w:rightChars="0" w:firstLineChars="-1"/>
      <w:textDirection w:val="btLr"/>
      <w:textAlignment w:val="top"/>
      <w:outlineLvl w:val="0"/>
    </w:pPr>
    <w:rPr>
      <w:rFonts w:ascii="Arial" w:cs="Tahoma" w:hAnsi="Arial"/>
      <w:i w:val="1"/>
      <w:iCs w:val="1"/>
      <w:w w:val="100"/>
      <w:position w:val="-1"/>
      <w:sz w:val="20"/>
      <w:szCs w:val="24"/>
      <w:effect w:val="none"/>
      <w:vertAlign w:val="baseline"/>
      <w:cs w:val="0"/>
      <w:em w:val="none"/>
      <w:lang w:bidi="ar-SA" w:eastAsia="ar-SA" w:val="ru-RU"/>
    </w:rPr>
  </w:style>
  <w:style w:type="paragraph" w:styleId="Указатель1">
    <w:name w:val="Указатель1"/>
    <w:basedOn w:val="Обычный"/>
    <w:next w:val="Указатель1"/>
    <w:autoRedefine w:val="0"/>
    <w:hidden w:val="0"/>
    <w:qFormat w:val="0"/>
    <w:pPr>
      <w:suppressLineNumbers w:val="1"/>
      <w:suppressAutoHyphens w:val="0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Arial" w:cs="Tahoma" w:hAnsi="Arial"/>
      <w:w w:val="100"/>
      <w:position w:val="-1"/>
      <w:effect w:val="none"/>
      <w:vertAlign w:val="baseline"/>
      <w:cs w:val="0"/>
      <w:em w:val="none"/>
      <w:lang w:bidi="ar-SA" w:eastAsia="ar-SA" w:val="ru-RU"/>
    </w:rPr>
  </w:style>
  <w:style w:type="paragraph" w:styleId="Основнойтекстсотступом">
    <w:name w:val="Основной текст с отступом"/>
    <w:basedOn w:val="Обычный"/>
    <w:next w:val="Основнойтекстсотступом"/>
    <w:autoRedefine w:val="0"/>
    <w:hidden w:val="0"/>
    <w:qFormat w:val="0"/>
    <w:pPr>
      <w:suppressAutoHyphens w:val="0"/>
      <w:spacing w:line="1" w:lineRule="atLeast"/>
      <w:ind w:left="-142" w:right="0" w:leftChars="-1" w:rightChars="0" w:firstLine="142" w:firstLineChars="-1"/>
      <w:textDirection w:val="btLr"/>
      <w:textAlignment w:val="top"/>
      <w:outlineLvl w:val="0"/>
    </w:pPr>
    <w:rPr>
      <w:b w:val="1"/>
      <w:w w:val="100"/>
      <w:position w:val="-1"/>
      <w:sz w:val="32"/>
      <w:effect w:val="none"/>
      <w:vertAlign w:val="baseline"/>
      <w:cs w:val="0"/>
      <w:em w:val="none"/>
      <w:lang w:bidi="ar-SA" w:eastAsia="ar-SA" w:val="ru-RU"/>
    </w:rPr>
  </w:style>
  <w:style w:type="paragraph" w:styleId="Текстпримечания1">
    <w:name w:val="Текст примечания1"/>
    <w:basedOn w:val="Обычный"/>
    <w:next w:val="Текстпримечания1"/>
    <w:autoRedefine w:val="0"/>
    <w:hidden w:val="0"/>
    <w:qFormat w:val="0"/>
    <w:pPr>
      <w:suppressAutoHyphens w:val="0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 w:bidi="ar-SA" w:eastAsia="ar-SA" w:val="ru-RU"/>
    </w:rPr>
  </w:style>
  <w:style w:type="paragraph" w:styleId="Текстсноски">
    <w:name w:val="Текст сноски"/>
    <w:basedOn w:val="Обычный"/>
    <w:next w:val="Текстсноски"/>
    <w:autoRedefine w:val="0"/>
    <w:hidden w:val="0"/>
    <w:qFormat w:val="0"/>
    <w:pPr>
      <w:suppressAutoHyphens w:val="0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 w:bidi="ar-SA" w:eastAsia="ar-SA" w:val="ru-RU"/>
    </w:rPr>
  </w:style>
  <w:style w:type="paragraph" w:styleId="Название">
    <w:name w:val="Название"/>
    <w:basedOn w:val="Обычный"/>
    <w:next w:val="Подзаголовок"/>
    <w:autoRedefine w:val="0"/>
    <w:hidden w:val="0"/>
    <w:qFormat w:val="0"/>
    <w:pPr>
      <w:tabs>
        <w:tab w:val="left" w:leader="none" w:pos="142"/>
      </w:tabs>
      <w:suppressAutoHyphens w:val="0"/>
      <w:spacing w:line="1" w:lineRule="atLeast"/>
      <w:ind w:leftChars="-1" w:rightChars="0" w:firstLineChars="-1"/>
      <w:jc w:val="center"/>
      <w:textDirection w:val="btLr"/>
      <w:textAlignment w:val="top"/>
      <w:outlineLvl w:val="0"/>
    </w:pPr>
    <w:rPr>
      <w:b w:val="1"/>
      <w:w w:val="100"/>
      <w:position w:val="-1"/>
      <w:sz w:val="24"/>
      <w:effect w:val="none"/>
      <w:vertAlign w:val="baseline"/>
      <w:cs w:val="0"/>
      <w:em w:val="none"/>
      <w:lang w:bidi="ar-SA" w:eastAsia="ar-SA" w:val="ru-RU"/>
    </w:rPr>
  </w:style>
  <w:style w:type="paragraph" w:styleId="Подзаголовок">
    <w:name w:val="Подзаголовок"/>
    <w:basedOn w:val="Заголовок"/>
    <w:next w:val="Основнойтекст"/>
    <w:autoRedefine w:val="0"/>
    <w:hidden w:val="0"/>
    <w:qFormat w:val="0"/>
    <w:pPr>
      <w:keepNext w:val="1"/>
      <w:suppressAutoHyphens w:val="0"/>
      <w:spacing w:after="120" w:before="240" w:line="1" w:lineRule="atLeast"/>
      <w:ind w:leftChars="-1" w:rightChars="0" w:firstLineChars="-1"/>
      <w:jc w:val="center"/>
      <w:textDirection w:val="btLr"/>
      <w:textAlignment w:val="top"/>
      <w:outlineLvl w:val="0"/>
    </w:pPr>
    <w:rPr>
      <w:rFonts w:ascii="Arial" w:cs="Tahoma" w:eastAsia="MS Mincho" w:hAnsi="Arial"/>
      <w:i w:val="1"/>
      <w:iCs w:val="1"/>
      <w:w w:val="100"/>
      <w:position w:val="-1"/>
      <w:sz w:val="28"/>
      <w:szCs w:val="28"/>
      <w:effect w:val="none"/>
      <w:vertAlign w:val="baseline"/>
      <w:cs w:val="0"/>
      <w:em w:val="none"/>
      <w:lang w:bidi="ar-SA" w:eastAsia="ar-SA" w:val="ru-RU"/>
    </w:rPr>
  </w:style>
  <w:style w:type="paragraph" w:styleId="Основнойтекстсотступом21">
    <w:name w:val="Основной текст с отступом 21"/>
    <w:basedOn w:val="Обычный"/>
    <w:next w:val="Основнойтекстсотступом21"/>
    <w:autoRedefine w:val="0"/>
    <w:hidden w:val="0"/>
    <w:qFormat w:val="0"/>
    <w:pPr>
      <w:suppressAutoHyphens w:val="0"/>
      <w:spacing w:line="1" w:lineRule="atLeast"/>
      <w:ind w:left="0" w:right="0" w:leftChars="-1" w:rightChars="0" w:firstLine="567" w:firstLineChars="-1"/>
      <w:jc w:val="both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 w:bidi="ar-SA" w:eastAsia="ar-SA" w:val="ru-RU"/>
    </w:rPr>
  </w:style>
  <w:style w:type="paragraph" w:styleId="Нижнийколонтитул">
    <w:name w:val="Нижний колонтитул"/>
    <w:basedOn w:val="Обычный"/>
    <w:next w:val="Нижнийколонтитул"/>
    <w:autoRedefine w:val="0"/>
    <w:hidden w:val="0"/>
    <w:qFormat w:val="0"/>
    <w:pPr>
      <w:tabs>
        <w:tab w:val="center" w:leader="none" w:pos="4153"/>
        <w:tab w:val="right" w:leader="none" w:pos="8306"/>
      </w:tabs>
      <w:suppressAutoHyphens w:val="0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 w:bidi="ar-SA" w:eastAsia="ar-SA" w:val="ru-RU"/>
    </w:rPr>
  </w:style>
  <w:style w:type="paragraph" w:styleId="Основнойтекстсотступом31">
    <w:name w:val="Основной текст с отступом 31"/>
    <w:basedOn w:val="Обычный"/>
    <w:next w:val="Основнойтекстсотступом31"/>
    <w:autoRedefine w:val="0"/>
    <w:hidden w:val="0"/>
    <w:qFormat w:val="0"/>
    <w:pPr>
      <w:tabs>
        <w:tab w:val="left" w:leader="none" w:pos="142"/>
      </w:tabs>
      <w:suppressAutoHyphens w:val="0"/>
      <w:spacing w:line="1" w:lineRule="atLeast"/>
      <w:ind w:left="0" w:right="0" w:leftChars="-1" w:rightChars="0" w:firstLine="567" w:firstLineChars="-1"/>
      <w:jc w:val="both"/>
      <w:textDirection w:val="btLr"/>
      <w:textAlignment w:val="top"/>
      <w:outlineLvl w:val="0"/>
    </w:pPr>
    <w:rPr>
      <w:w w:val="100"/>
      <w:position w:val="-1"/>
      <w:sz w:val="28"/>
      <w:effect w:val="none"/>
      <w:vertAlign w:val="baseline"/>
      <w:cs w:val="0"/>
      <w:em w:val="none"/>
      <w:lang w:bidi="ar-SA" w:eastAsia="ar-SA" w:val="ru-RU"/>
    </w:rPr>
  </w:style>
  <w:style w:type="paragraph" w:styleId="Основнойтекст31">
    <w:name w:val="Основной текст 31"/>
    <w:basedOn w:val="Обычный"/>
    <w:next w:val="Основнойтекст31"/>
    <w:autoRedefine w:val="0"/>
    <w:hidden w:val="0"/>
    <w:qFormat w:val="0"/>
    <w:pPr>
      <w:suppressAutoHyphens w:val="0"/>
      <w:spacing w:line="1" w:lineRule="atLeast"/>
      <w:ind w:leftChars="-1" w:rightChars="0" w:firstLineChars="-1"/>
      <w:jc w:val="both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 w:bidi="ar-SA" w:eastAsia="ar-SA" w:val="ru-RU"/>
    </w:rPr>
  </w:style>
  <w:style w:type="paragraph" w:styleId="Содержимоетаблицы">
    <w:name w:val="Содержимое таблицы"/>
    <w:basedOn w:val="Обычный"/>
    <w:next w:val="Содержимоетаблицы"/>
    <w:autoRedefine w:val="0"/>
    <w:hidden w:val="0"/>
    <w:qFormat w:val="0"/>
    <w:pPr>
      <w:suppressLineNumbers w:val="1"/>
      <w:suppressAutoHyphens w:val="0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 w:bidi="ar-SA" w:eastAsia="ar-SA" w:val="ru-RU"/>
    </w:rPr>
  </w:style>
  <w:style w:type="paragraph" w:styleId="Заголовоктаблицы">
    <w:name w:val="Заголовок таблицы"/>
    <w:basedOn w:val="Содержимоетаблицы"/>
    <w:next w:val="Заголовоктаблицы"/>
    <w:autoRedefine w:val="0"/>
    <w:hidden w:val="0"/>
    <w:qFormat w:val="0"/>
    <w:pPr>
      <w:suppressLineNumbers w:val="1"/>
      <w:suppressAutoHyphens w:val="0"/>
      <w:spacing w:line="1" w:lineRule="atLeast"/>
      <w:ind w:leftChars="-1" w:rightChars="0" w:firstLineChars="-1"/>
      <w:jc w:val="center"/>
      <w:textDirection w:val="btLr"/>
      <w:textAlignment w:val="top"/>
      <w:outlineLvl w:val="0"/>
    </w:pPr>
    <w:rPr>
      <w:b w:val="1"/>
      <w:bCs w:val="1"/>
      <w:w w:val="100"/>
      <w:position w:val="-1"/>
      <w:effect w:val="none"/>
      <w:vertAlign w:val="baseline"/>
      <w:cs w:val="0"/>
      <w:em w:val="none"/>
      <w:lang w:bidi="ar-SA" w:eastAsia="ar-SA" w:val="ru-RU"/>
    </w:rPr>
  </w:style>
  <w:style w:type="paragraph" w:styleId="Содержимоеврезки">
    <w:name w:val="Содержимое врезки"/>
    <w:basedOn w:val="Основнойтекст"/>
    <w:next w:val="Содержимоеврезки"/>
    <w:autoRedefine w:val="0"/>
    <w:hidden w:val="0"/>
    <w:qFormat w:val="0"/>
    <w:pPr>
      <w:tabs>
        <w:tab w:val="left" w:leader="underscore" w:pos="0"/>
      </w:tabs>
      <w:suppressAutoHyphens w:val="0"/>
      <w:spacing w:line="1" w:lineRule="atLeast"/>
      <w:ind w:leftChars="-1" w:rightChars="0" w:firstLineChars="-1"/>
      <w:jc w:val="both"/>
      <w:textDirection w:val="btLr"/>
      <w:textAlignment w:val="top"/>
      <w:outlineLvl w:val="0"/>
    </w:pPr>
    <w:rPr>
      <w:w w:val="100"/>
      <w:position w:val="-1"/>
      <w:sz w:val="24"/>
      <w:effect w:val="none"/>
      <w:vertAlign w:val="baseline"/>
      <w:cs w:val="0"/>
      <w:em w:val="none"/>
      <w:lang w:bidi="ar-SA" w:eastAsia="ar-SA" w:val="ru-RU"/>
    </w:rPr>
  </w:style>
  <w:style w:type="paragraph" w:styleId="Верхнийколонтитул">
    <w:name w:val="Верхний колонтитул"/>
    <w:basedOn w:val="Обычный"/>
    <w:next w:val="Верхнийколонтитул"/>
    <w:autoRedefine w:val="0"/>
    <w:hidden w:val="0"/>
    <w:qFormat w:val="0"/>
    <w:pPr>
      <w:tabs>
        <w:tab w:val="center" w:leader="none" w:pos="4677"/>
        <w:tab w:val="right" w:leader="none" w:pos="9355"/>
      </w:tabs>
      <w:suppressAutoHyphens w:val="0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 w:bidi="ar-SA" w:eastAsia="ar-SA" w:val="ru-RU"/>
    </w:rPr>
  </w:style>
  <w:style w:type="paragraph" w:styleId="Текствыноски">
    <w:name w:val="Текст выноски"/>
    <w:basedOn w:val="Обычный"/>
    <w:next w:val="Текствыноски"/>
    <w:autoRedefine w:val="0"/>
    <w:hidden w:val="0"/>
    <w:qFormat w:val="0"/>
    <w:pPr>
      <w:suppressAutoHyphens w:val="0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ahoma" w:cs="Tahoma" w:hAnsi="Tahoma"/>
      <w:w w:val="100"/>
      <w:position w:val="-1"/>
      <w:sz w:val="16"/>
      <w:szCs w:val="16"/>
      <w:effect w:val="none"/>
      <w:vertAlign w:val="baseline"/>
      <w:cs w:val="0"/>
      <w:em w:val="none"/>
      <w:lang w:bidi="ar-SA" w:eastAsia="ar-SA" w:val="ru-RU"/>
    </w:rPr>
  </w:style>
  <w:style w:type="paragraph" w:styleId="Текстпримечания2">
    <w:name w:val="Текст примечания2"/>
    <w:basedOn w:val="Обычный"/>
    <w:next w:val="Текстпримечания2"/>
    <w:autoRedefine w:val="0"/>
    <w:hidden w:val="0"/>
    <w:qFormat w:val="0"/>
    <w:pPr>
      <w:suppressAutoHyphens w:val="0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 w:bidi="ar-SA" w:eastAsia="ar-SA" w:val="ru-RU"/>
    </w:rPr>
  </w:style>
  <w:style w:type="paragraph" w:styleId="Темапримечания">
    <w:name w:val="Тема примечания"/>
    <w:basedOn w:val="Текстпримечания2"/>
    <w:next w:val="Текстпримечания2"/>
    <w:autoRedefine w:val="0"/>
    <w:hidden w:val="0"/>
    <w:qFormat w:val="0"/>
    <w:pPr>
      <w:suppressAutoHyphens w:val="0"/>
      <w:spacing w:line="1" w:lineRule="atLeast"/>
      <w:ind w:leftChars="-1" w:rightChars="0" w:firstLineChars="-1"/>
      <w:textDirection w:val="btLr"/>
      <w:textAlignment w:val="top"/>
      <w:outlineLvl w:val="0"/>
    </w:pPr>
    <w:rPr>
      <w:b w:val="1"/>
      <w:bCs w:val="1"/>
      <w:w w:val="100"/>
      <w:position w:val="-1"/>
      <w:effect w:val="none"/>
      <w:vertAlign w:val="baseline"/>
      <w:cs w:val="0"/>
      <w:em w:val="none"/>
      <w:lang w:bidi="ar-SA" w:eastAsia="ar-SA" w:val="ru-RU"/>
    </w:rPr>
  </w:style>
  <w:style w:type="paragraph" w:styleId="Основнойтекстсотступом32">
    <w:name w:val="Основной текст с отступом 32"/>
    <w:basedOn w:val="Обычный"/>
    <w:next w:val="Основнойтекстсотступом32"/>
    <w:autoRedefine w:val="0"/>
    <w:hidden w:val="0"/>
    <w:qFormat w:val="0"/>
    <w:pPr>
      <w:suppressAutoHyphens w:val="0"/>
      <w:spacing w:after="120" w:before="0" w:line="1" w:lineRule="atLeast"/>
      <w:ind w:left="283" w:right="0" w:leftChars="-1" w:rightChars="0" w:firstLine="0" w:firstLineChars="-1"/>
      <w:textDirection w:val="btLr"/>
      <w:textAlignment w:val="top"/>
      <w:outlineLvl w:val="0"/>
    </w:pPr>
    <w:rPr>
      <w:w w:val="100"/>
      <w:position w:val="-1"/>
      <w:sz w:val="16"/>
      <w:szCs w:val="16"/>
      <w:effect w:val="none"/>
      <w:vertAlign w:val="baseline"/>
      <w:cs w:val="0"/>
      <w:em w:val="none"/>
      <w:lang w:bidi="ar-SA" w:eastAsia="ar-SA" w:val="ru-RU"/>
    </w:rPr>
  </w:style>
  <w:style w:type="table" w:styleId="Сеткатаблицы">
    <w:name w:val="Сетка таблицы"/>
    <w:basedOn w:val="Обычнаятаблица"/>
    <w:next w:val="Сеткатаблицы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tblStyle w:val="Сеткатаблицы"/>
      <w:jc w:val="left"/>
      <w:tblBorders>
        <w:top w:color="000000" w:space="0" w:sz="4" w:val="single"/>
        <w:left w:color="000000" w:space="0" w:sz="4" w:val="single"/>
        <w:bottom w:color="000000" w:space="0" w:sz="4" w:val="single"/>
        <w:right w:color="000000" w:space="0" w:sz="4" w:val="single"/>
        <w:insideH w:color="000000" w:space="0" w:sz="4" w:val="single"/>
        <w:insideV w:color="000000" w:space="0" w:sz="4" w:val="single"/>
      </w:tblBorders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Garamond-regular.ttf"/><Relationship Id="rId2" Type="http://schemas.openxmlformats.org/officeDocument/2006/relationships/font" Target="fonts/Garamond-bold.ttf"/><Relationship Id="rId3" Type="http://schemas.openxmlformats.org/officeDocument/2006/relationships/font" Target="fonts/Garamond-italic.ttf"/><Relationship Id="rId4" Type="http://schemas.openxmlformats.org/officeDocument/2006/relationships/font" Target="fonts/Garamond-boldItalic.ttf"/><Relationship Id="rId5" Type="http://schemas.openxmlformats.org/officeDocument/2006/relationships/font" Target="fonts/NotoSansSymbols-regular.ttf"/><Relationship Id="rId6" Type="http://schemas.openxmlformats.org/officeDocument/2006/relationships/font" Target="fonts/NotoSansSymbols-bold.ttf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4.pn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3.jpg"/><Relationship Id="rId2" Type="http://schemas.openxmlformats.org/officeDocument/2006/relationships/image" Target="media/image2.jpg"/><Relationship Id="rId3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4myx+u/qzXF2r+mVkcZIEtYU2Yg==">CgMxLjA4AHIhMVd6TkFXc3JXR3lhQTRsUnRjNVpiTUk2bjZpS2dvUElW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2019-02-08T06:29:00Z</dcterms:created>
  <dc:creator>Ирина</dc:creator>
</cp:coreProperties>
</file>